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5821" w14:textId="77777777" w:rsidR="00095F47" w:rsidRPr="00A04240" w:rsidRDefault="002425BF" w:rsidP="00031169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 Narrow" w:hAnsi="Arial Narrow" w:cs="Times New Roman"/>
        </w:rPr>
      </w:pPr>
      <w:r w:rsidRPr="00A04240">
        <w:rPr>
          <w:rFonts w:ascii="Arial Narrow" w:hAnsi="Arial Narrow" w:cs="Times New Roman"/>
        </w:rPr>
        <w:t xml:space="preserve">Allegato alla </w:t>
      </w:r>
      <w:r w:rsidR="00AF5146" w:rsidRPr="00A04240">
        <w:rPr>
          <w:rFonts w:ascii="Arial Narrow" w:hAnsi="Arial Narrow" w:cs="Times New Roman"/>
        </w:rPr>
        <w:t>R</w:t>
      </w:r>
      <w:r w:rsidR="00095F47" w:rsidRPr="00A04240">
        <w:rPr>
          <w:rFonts w:ascii="Arial Narrow" w:hAnsi="Arial Narrow" w:cs="Times New Roman"/>
        </w:rPr>
        <w:t>elazione RPCT anno 202</w:t>
      </w:r>
      <w:r w:rsidR="0085790B">
        <w:rPr>
          <w:rFonts w:ascii="Arial Narrow" w:hAnsi="Arial Narrow" w:cs="Times New Roman"/>
        </w:rPr>
        <w:t>2</w:t>
      </w:r>
    </w:p>
    <w:p w14:paraId="4D72E70B" w14:textId="77777777" w:rsidR="00687349" w:rsidRPr="00A04240" w:rsidRDefault="00687349" w:rsidP="002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1670E7" w14:textId="77777777" w:rsidR="00095F47" w:rsidRPr="00A04240" w:rsidRDefault="00621CFE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>Nel 2022 l</w:t>
      </w:r>
      <w:r w:rsidR="00837443" w:rsidRPr="00A04240">
        <w:rPr>
          <w:rFonts w:ascii="Times New Roman" w:hAnsi="Times New Roman" w:cs="Times New Roman"/>
          <w:w w:val="95"/>
        </w:rPr>
        <w:t>e</w:t>
      </w:r>
      <w:r w:rsidR="00095F47" w:rsidRPr="00A04240">
        <w:rPr>
          <w:rFonts w:ascii="Times New Roman" w:hAnsi="Times New Roman" w:cs="Times New Roman"/>
          <w:w w:val="95"/>
        </w:rPr>
        <w:t xml:space="preserve"> politiche aziendali di prevenzione della corruzione e per la promozione della </w:t>
      </w:r>
      <w:r w:rsidR="00837443" w:rsidRPr="00A04240">
        <w:rPr>
          <w:rFonts w:ascii="Times New Roman" w:hAnsi="Times New Roman" w:cs="Times New Roman"/>
          <w:w w:val="95"/>
        </w:rPr>
        <w:t>trasparenza</w:t>
      </w:r>
      <w:r w:rsidRPr="00A04240">
        <w:rPr>
          <w:rFonts w:ascii="Times New Roman" w:hAnsi="Times New Roman" w:cs="Times New Roman"/>
          <w:w w:val="95"/>
        </w:rPr>
        <w:t xml:space="preserve"> hanno perseguito il rafforzamento del sistema aziendale di prevenzione dei comportamenti corruttivi e, allo stesso tempo, la sua semplificazione. </w:t>
      </w:r>
    </w:p>
    <w:p w14:paraId="13F63AF1" w14:textId="77777777" w:rsidR="000D43F7" w:rsidRPr="00A04240" w:rsidRDefault="000D43F7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</w:p>
    <w:p w14:paraId="683FEE0A" w14:textId="77777777" w:rsidR="00F75268" w:rsidRPr="00A04240" w:rsidRDefault="00F75268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 xml:space="preserve">Gli obiettivi finalizzati alla realizzazione delle politiche sono stati raggiunti </w:t>
      </w:r>
      <w:r w:rsidR="008E2A41" w:rsidRPr="00A04240">
        <w:rPr>
          <w:rFonts w:ascii="Times New Roman" w:hAnsi="Times New Roman" w:cs="Times New Roman"/>
          <w:w w:val="95"/>
        </w:rPr>
        <w:t xml:space="preserve">nella quasi totalità, </w:t>
      </w:r>
      <w:r w:rsidRPr="00A04240">
        <w:rPr>
          <w:rFonts w:ascii="Times New Roman" w:hAnsi="Times New Roman" w:cs="Times New Roman"/>
          <w:w w:val="95"/>
        </w:rPr>
        <w:t xml:space="preserve">con </w:t>
      </w:r>
      <w:r w:rsidR="008E2A41" w:rsidRPr="00A04240">
        <w:rPr>
          <w:rFonts w:ascii="Times New Roman" w:hAnsi="Times New Roman" w:cs="Times New Roman"/>
          <w:w w:val="95"/>
        </w:rPr>
        <w:t>eccezione di quelli che richiedevano la conclusione di fasi p</w:t>
      </w:r>
      <w:r w:rsidR="008D1EA1">
        <w:rPr>
          <w:rFonts w:ascii="Times New Roman" w:hAnsi="Times New Roman" w:cs="Times New Roman"/>
          <w:w w:val="95"/>
        </w:rPr>
        <w:t>ropedeutiche rientranti nella sf</w:t>
      </w:r>
      <w:r w:rsidR="008E2A41" w:rsidRPr="00A04240">
        <w:rPr>
          <w:rFonts w:ascii="Times New Roman" w:hAnsi="Times New Roman" w:cs="Times New Roman"/>
          <w:w w:val="95"/>
        </w:rPr>
        <w:t>era di competenza di altro ente (ESTAR).</w:t>
      </w:r>
    </w:p>
    <w:p w14:paraId="779BE233" w14:textId="77777777" w:rsidR="00131124" w:rsidRPr="00A04240" w:rsidRDefault="00131124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>Sono stati implementati</w:t>
      </w:r>
      <w:r w:rsidR="00A36A7C" w:rsidRPr="00A04240">
        <w:rPr>
          <w:rFonts w:ascii="Times New Roman" w:hAnsi="Times New Roman" w:cs="Times New Roman"/>
          <w:w w:val="95"/>
        </w:rPr>
        <w:t xml:space="preserve"> il </w:t>
      </w:r>
      <w:r w:rsidRPr="00A04240">
        <w:rPr>
          <w:rFonts w:ascii="Times New Roman" w:hAnsi="Times New Roman" w:cs="Times New Roman"/>
          <w:w w:val="95"/>
        </w:rPr>
        <w:t>Catalogo dei processi e il Catalogo dei rischi corru</w:t>
      </w:r>
      <w:r w:rsidR="001A7D01" w:rsidRPr="00A04240">
        <w:rPr>
          <w:rFonts w:ascii="Times New Roman" w:hAnsi="Times New Roman" w:cs="Times New Roman"/>
          <w:w w:val="95"/>
        </w:rPr>
        <w:t>ttivi, con l’individuazione di tre</w:t>
      </w:r>
      <w:r w:rsidRPr="00A04240">
        <w:rPr>
          <w:rFonts w:ascii="Times New Roman" w:hAnsi="Times New Roman" w:cs="Times New Roman"/>
          <w:w w:val="95"/>
        </w:rPr>
        <w:t xml:space="preserve"> "famiglie di rischio" (rischi di illegalità, contabili – patrimoniali, operativi), al cui interno sono individuati "eventi </w:t>
      </w:r>
      <w:r w:rsidR="006A7632">
        <w:rPr>
          <w:rFonts w:ascii="Times New Roman" w:hAnsi="Times New Roman" w:cs="Times New Roman"/>
          <w:w w:val="95"/>
        </w:rPr>
        <w:t>rischiosi</w:t>
      </w:r>
      <w:r w:rsidR="006A7632" w:rsidRPr="00A04240">
        <w:rPr>
          <w:rFonts w:ascii="Times New Roman" w:hAnsi="Times New Roman" w:cs="Times New Roman"/>
          <w:w w:val="95"/>
        </w:rPr>
        <w:t>"</w:t>
      </w:r>
      <w:r w:rsidR="00844CBF">
        <w:rPr>
          <w:rFonts w:ascii="Times New Roman" w:hAnsi="Times New Roman" w:cs="Times New Roman"/>
          <w:w w:val="95"/>
        </w:rPr>
        <w:t xml:space="preserve"> </w:t>
      </w:r>
      <w:r w:rsidRPr="00A04240">
        <w:rPr>
          <w:rFonts w:ascii="Times New Roman" w:hAnsi="Times New Roman" w:cs="Times New Roman"/>
          <w:w w:val="95"/>
        </w:rPr>
        <w:t>(manifestazioni concrete</w:t>
      </w:r>
      <w:r w:rsidR="008D1EA1">
        <w:rPr>
          <w:rFonts w:ascii="Times New Roman" w:hAnsi="Times New Roman" w:cs="Times New Roman"/>
          <w:w w:val="95"/>
        </w:rPr>
        <w:t>, situazioni di rischio</w:t>
      </w:r>
      <w:r w:rsidRPr="00A04240">
        <w:rPr>
          <w:rFonts w:ascii="Times New Roman" w:hAnsi="Times New Roman" w:cs="Times New Roman"/>
          <w:w w:val="95"/>
        </w:rPr>
        <w:t xml:space="preserve"> più specifiche, definibili quali evento di rischio trasversale a tutte le fasi del processo, effetto finale di un potenziale comportamento illecito).</w:t>
      </w:r>
    </w:p>
    <w:p w14:paraId="3241C64C" w14:textId="77777777" w:rsidR="00A36A7C" w:rsidRPr="00A04240" w:rsidRDefault="001A7D01" w:rsidP="006B4FE8">
      <w:pPr>
        <w:tabs>
          <w:tab w:val="left" w:pos="574"/>
        </w:tabs>
        <w:spacing w:after="0" w:line="240" w:lineRule="auto"/>
        <w:ind w:right="400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Arial Narrow" w:hAnsi="Arial Narrow" w:cs="Times New Roman"/>
          <w:w w:val="95"/>
        </w:rPr>
        <w:t>È</w:t>
      </w:r>
      <w:r w:rsidRPr="00A04240">
        <w:rPr>
          <w:rFonts w:ascii="Times New Roman" w:hAnsi="Times New Roman" w:cs="Times New Roman"/>
          <w:w w:val="95"/>
        </w:rPr>
        <w:t xml:space="preserve"> </w:t>
      </w:r>
      <w:r w:rsidR="00131124" w:rsidRPr="00A04240">
        <w:rPr>
          <w:rFonts w:ascii="Times New Roman" w:hAnsi="Times New Roman" w:cs="Times New Roman"/>
          <w:w w:val="95"/>
        </w:rPr>
        <w:t xml:space="preserve">stata </w:t>
      </w:r>
      <w:r w:rsidR="000D43F7" w:rsidRPr="00A04240">
        <w:rPr>
          <w:rFonts w:ascii="Times New Roman" w:hAnsi="Times New Roman" w:cs="Times New Roman"/>
          <w:w w:val="95"/>
        </w:rPr>
        <w:t>individuata una</w:t>
      </w:r>
      <w:r w:rsidR="00131124" w:rsidRPr="00A04240">
        <w:rPr>
          <w:rFonts w:ascii="Times New Roman" w:hAnsi="Times New Roman" w:cs="Times New Roman"/>
          <w:w w:val="95"/>
        </w:rPr>
        <w:t xml:space="preserve"> metodologia </w:t>
      </w:r>
      <w:r w:rsidR="000D43F7" w:rsidRPr="00A04240">
        <w:rPr>
          <w:rFonts w:ascii="Times New Roman" w:hAnsi="Times New Roman" w:cs="Times New Roman"/>
          <w:w w:val="95"/>
        </w:rPr>
        <w:t>per l’</w:t>
      </w:r>
      <w:r w:rsidRPr="00A04240">
        <w:rPr>
          <w:rFonts w:ascii="Times New Roman" w:hAnsi="Times New Roman" w:cs="Times New Roman"/>
          <w:w w:val="95"/>
        </w:rPr>
        <w:t xml:space="preserve">analisi del rischio corruttivo </w:t>
      </w:r>
      <w:r w:rsidR="00FF5CC6">
        <w:rPr>
          <w:rFonts w:ascii="Times New Roman" w:hAnsi="Times New Roman" w:cs="Times New Roman"/>
          <w:w w:val="95"/>
        </w:rPr>
        <w:t>di prevenzione/contenimento</w:t>
      </w:r>
      <w:r w:rsidR="00131124" w:rsidRPr="00A04240">
        <w:rPr>
          <w:rFonts w:ascii="Times New Roman" w:hAnsi="Times New Roman" w:cs="Times New Roman"/>
          <w:w w:val="95"/>
        </w:rPr>
        <w:t xml:space="preserve"> che</w:t>
      </w:r>
      <w:r w:rsidR="000D43F7" w:rsidRPr="00A04240">
        <w:rPr>
          <w:rFonts w:ascii="Times New Roman" w:hAnsi="Times New Roman" w:cs="Times New Roman"/>
          <w:w w:val="95"/>
        </w:rPr>
        <w:t>,</w:t>
      </w:r>
      <w:r w:rsidR="00131124" w:rsidRPr="00A04240">
        <w:rPr>
          <w:rFonts w:ascii="Times New Roman" w:hAnsi="Times New Roman" w:cs="Times New Roman"/>
          <w:w w:val="95"/>
        </w:rPr>
        <w:t xml:space="preserve"> </w:t>
      </w:r>
      <w:r w:rsidR="000D43F7" w:rsidRPr="00A04240">
        <w:rPr>
          <w:rFonts w:ascii="Times New Roman" w:hAnsi="Times New Roman" w:cs="Times New Roman"/>
          <w:w w:val="95"/>
        </w:rPr>
        <w:t xml:space="preserve">messa a punto, </w:t>
      </w:r>
      <w:r w:rsidR="00131124" w:rsidRPr="00A04240">
        <w:rPr>
          <w:rFonts w:ascii="Times New Roman" w:hAnsi="Times New Roman" w:cs="Times New Roman"/>
          <w:w w:val="95"/>
        </w:rPr>
        <w:t xml:space="preserve">sarà </w:t>
      </w:r>
      <w:r w:rsidR="006544D1" w:rsidRPr="00A04240">
        <w:rPr>
          <w:rFonts w:ascii="Times New Roman" w:hAnsi="Times New Roman" w:cs="Times New Roman"/>
          <w:w w:val="95"/>
        </w:rPr>
        <w:t xml:space="preserve">gradualmente </w:t>
      </w:r>
      <w:r w:rsidR="00131124" w:rsidRPr="00A04240">
        <w:rPr>
          <w:rFonts w:ascii="Times New Roman" w:hAnsi="Times New Roman" w:cs="Times New Roman"/>
          <w:w w:val="95"/>
        </w:rPr>
        <w:t xml:space="preserve">applicata </w:t>
      </w:r>
      <w:r w:rsidR="000D43F7" w:rsidRPr="00A04240">
        <w:rPr>
          <w:rFonts w:ascii="Times New Roman" w:hAnsi="Times New Roman" w:cs="Times New Roman"/>
          <w:w w:val="95"/>
        </w:rPr>
        <w:t>a partire dal corrente anno</w:t>
      </w:r>
      <w:r w:rsidR="00131124" w:rsidRPr="00A04240">
        <w:rPr>
          <w:rFonts w:ascii="Times New Roman" w:hAnsi="Times New Roman" w:cs="Times New Roman"/>
          <w:w w:val="95"/>
        </w:rPr>
        <w:t xml:space="preserve"> </w:t>
      </w:r>
      <w:r w:rsidR="000D43F7" w:rsidRPr="00A04240">
        <w:rPr>
          <w:rFonts w:ascii="Times New Roman" w:hAnsi="Times New Roman" w:cs="Times New Roman"/>
          <w:w w:val="95"/>
        </w:rPr>
        <w:t>per i</w:t>
      </w:r>
      <w:r w:rsidR="00131124" w:rsidRPr="00A04240">
        <w:rPr>
          <w:rFonts w:ascii="Times New Roman" w:hAnsi="Times New Roman" w:cs="Times New Roman"/>
          <w:w w:val="95"/>
        </w:rPr>
        <w:t xml:space="preserve"> processi </w:t>
      </w:r>
      <w:r w:rsidR="000D43F7" w:rsidRPr="00A04240">
        <w:rPr>
          <w:rFonts w:ascii="Times New Roman" w:hAnsi="Times New Roman" w:cs="Times New Roman"/>
          <w:w w:val="95"/>
        </w:rPr>
        <w:t>ritenuti prioritari anche in considerazione del</w:t>
      </w:r>
      <w:r w:rsidR="006544D1" w:rsidRPr="00A04240">
        <w:rPr>
          <w:rFonts w:ascii="Times New Roman" w:hAnsi="Times New Roman" w:cs="Times New Roman"/>
          <w:w w:val="95"/>
        </w:rPr>
        <w:t xml:space="preserve"> loro </w:t>
      </w:r>
      <w:r w:rsidR="000D43F7" w:rsidRPr="00A04240">
        <w:rPr>
          <w:rFonts w:ascii="Times New Roman" w:hAnsi="Times New Roman" w:cs="Times New Roman"/>
          <w:w w:val="95"/>
        </w:rPr>
        <w:t>impatto economico</w:t>
      </w:r>
      <w:r w:rsidR="003D55A4" w:rsidRPr="00A04240">
        <w:rPr>
          <w:rFonts w:ascii="Times New Roman" w:hAnsi="Times New Roman" w:cs="Times New Roman"/>
          <w:w w:val="95"/>
        </w:rPr>
        <w:t xml:space="preserve">. Tale </w:t>
      </w:r>
      <w:r w:rsidR="000D43F7" w:rsidRPr="00A04240">
        <w:rPr>
          <w:rFonts w:ascii="Times New Roman" w:hAnsi="Times New Roman" w:cs="Times New Roman"/>
          <w:w w:val="95"/>
        </w:rPr>
        <w:t>analisi</w:t>
      </w:r>
      <w:r w:rsidR="0075685E" w:rsidRPr="00A04240">
        <w:rPr>
          <w:rFonts w:ascii="Times New Roman" w:hAnsi="Times New Roman" w:cs="Times New Roman"/>
          <w:w w:val="95"/>
        </w:rPr>
        <w:t xml:space="preserve"> è </w:t>
      </w:r>
      <w:r w:rsidR="00A36A7C" w:rsidRPr="00A04240">
        <w:rPr>
          <w:rFonts w:ascii="Times New Roman" w:hAnsi="Times New Roman" w:cs="Times New Roman"/>
          <w:w w:val="95"/>
        </w:rPr>
        <w:t>rivolta</w:t>
      </w:r>
      <w:r w:rsidR="0075685E" w:rsidRPr="00A04240">
        <w:rPr>
          <w:rFonts w:ascii="Times New Roman" w:hAnsi="Times New Roman" w:cs="Times New Roman"/>
          <w:w w:val="95"/>
        </w:rPr>
        <w:t>,</w:t>
      </w:r>
      <w:r w:rsidR="00A36A7C" w:rsidRPr="00A04240">
        <w:rPr>
          <w:rFonts w:ascii="Times New Roman" w:hAnsi="Times New Roman" w:cs="Times New Roman"/>
          <w:w w:val="95"/>
        </w:rPr>
        <w:t xml:space="preserve"> in particolare</w:t>
      </w:r>
      <w:r w:rsidR="0075685E" w:rsidRPr="00A04240">
        <w:rPr>
          <w:rFonts w:ascii="Times New Roman" w:hAnsi="Times New Roman" w:cs="Times New Roman"/>
          <w:w w:val="95"/>
        </w:rPr>
        <w:t>,</w:t>
      </w:r>
      <w:r w:rsidR="00A36A7C" w:rsidRPr="00A04240">
        <w:rPr>
          <w:rFonts w:ascii="Times New Roman" w:hAnsi="Times New Roman" w:cs="Times New Roman"/>
          <w:w w:val="95"/>
        </w:rPr>
        <w:t xml:space="preserve"> </w:t>
      </w:r>
      <w:r w:rsidR="000D43F7" w:rsidRPr="00A04240">
        <w:rPr>
          <w:rFonts w:ascii="Times New Roman" w:hAnsi="Times New Roman" w:cs="Times New Roman"/>
          <w:w w:val="95"/>
        </w:rPr>
        <w:t>a</w:t>
      </w:r>
      <w:r w:rsidR="00A36A7C" w:rsidRPr="00A04240">
        <w:rPr>
          <w:rFonts w:ascii="Times New Roman" w:hAnsi="Times New Roman" w:cs="Times New Roman"/>
          <w:w w:val="95"/>
        </w:rPr>
        <w:t xml:space="preserve">lle attività </w:t>
      </w:r>
      <w:r w:rsidR="003D55A4" w:rsidRPr="00A04240">
        <w:rPr>
          <w:rFonts w:ascii="Times New Roman" w:hAnsi="Times New Roman" w:cs="Times New Roman"/>
          <w:w w:val="95"/>
        </w:rPr>
        <w:t xml:space="preserve">sia </w:t>
      </w:r>
      <w:r w:rsidR="00A36A7C" w:rsidRPr="00A04240">
        <w:rPr>
          <w:rFonts w:ascii="Times New Roman" w:hAnsi="Times New Roman" w:cs="Times New Roman"/>
          <w:w w:val="95"/>
        </w:rPr>
        <w:t>di natura amministrativa e tecnica</w:t>
      </w:r>
      <w:r w:rsidR="006544D1" w:rsidRPr="00A04240">
        <w:rPr>
          <w:rFonts w:ascii="Times New Roman" w:hAnsi="Times New Roman" w:cs="Times New Roman"/>
          <w:w w:val="95"/>
        </w:rPr>
        <w:t xml:space="preserve"> sia </w:t>
      </w:r>
      <w:r w:rsidR="00A36A7C" w:rsidRPr="00A04240">
        <w:rPr>
          <w:rFonts w:ascii="Times New Roman" w:hAnsi="Times New Roman" w:cs="Times New Roman"/>
          <w:w w:val="95"/>
        </w:rPr>
        <w:t>di supporto generale dell’Azienda</w:t>
      </w:r>
      <w:r w:rsidR="003D55A4" w:rsidRPr="00A04240">
        <w:rPr>
          <w:rFonts w:ascii="Times New Roman" w:hAnsi="Times New Roman" w:cs="Times New Roman"/>
          <w:w w:val="95"/>
        </w:rPr>
        <w:t>,</w:t>
      </w:r>
      <w:r w:rsidR="00A36A7C" w:rsidRPr="00A04240">
        <w:rPr>
          <w:rFonts w:ascii="Times New Roman" w:hAnsi="Times New Roman" w:cs="Times New Roman"/>
          <w:w w:val="95"/>
        </w:rPr>
        <w:t xml:space="preserve"> oltre che nell’ambito delle attività sanitarie di natura trasversale e di coordinamento che, per natura, sono fortemente integrate con le funzioni di governo e controllo. </w:t>
      </w:r>
    </w:p>
    <w:p w14:paraId="2061308C" w14:textId="77777777" w:rsidR="001B7349" w:rsidRPr="00A04240" w:rsidRDefault="001B7349" w:rsidP="006B4FE8">
      <w:pPr>
        <w:tabs>
          <w:tab w:val="left" w:pos="574"/>
        </w:tabs>
        <w:spacing w:after="0" w:line="240" w:lineRule="auto"/>
        <w:ind w:right="400"/>
        <w:jc w:val="both"/>
        <w:rPr>
          <w:rFonts w:ascii="Times New Roman" w:hAnsi="Times New Roman" w:cs="Times New Roman"/>
          <w:w w:val="95"/>
        </w:rPr>
      </w:pPr>
    </w:p>
    <w:p w14:paraId="4B9023A8" w14:textId="77777777" w:rsidR="00621CFE" w:rsidRPr="00A04240" w:rsidRDefault="000C378D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 xml:space="preserve">Le norme sul Percorso Attuativo di </w:t>
      </w:r>
      <w:proofErr w:type="spellStart"/>
      <w:r w:rsidRPr="00A04240">
        <w:rPr>
          <w:rFonts w:ascii="Times New Roman" w:hAnsi="Times New Roman" w:cs="Times New Roman"/>
          <w:w w:val="95"/>
        </w:rPr>
        <w:t>Certificabilità</w:t>
      </w:r>
      <w:proofErr w:type="spellEnd"/>
      <w:r w:rsidRPr="00A04240">
        <w:rPr>
          <w:rFonts w:ascii="Times New Roman" w:hAnsi="Times New Roman" w:cs="Times New Roman"/>
          <w:w w:val="95"/>
        </w:rPr>
        <w:t xml:space="preserve"> </w:t>
      </w:r>
      <w:r w:rsidR="00E5158E" w:rsidRPr="00A04240">
        <w:rPr>
          <w:rFonts w:ascii="Times New Roman" w:hAnsi="Times New Roman" w:cs="Times New Roman"/>
          <w:w w:val="95"/>
        </w:rPr>
        <w:t>(</w:t>
      </w:r>
      <w:r w:rsidRPr="00A04240">
        <w:rPr>
          <w:rFonts w:ascii="Times New Roman" w:hAnsi="Times New Roman" w:cs="Times New Roman"/>
          <w:w w:val="95"/>
        </w:rPr>
        <w:t>PAC</w:t>
      </w:r>
      <w:r w:rsidR="00E5158E" w:rsidRPr="00A04240">
        <w:rPr>
          <w:rFonts w:ascii="Times New Roman" w:hAnsi="Times New Roman" w:cs="Times New Roman"/>
          <w:w w:val="95"/>
        </w:rPr>
        <w:t>)</w:t>
      </w:r>
      <w:r w:rsidR="00A36A7C" w:rsidRPr="00A04240">
        <w:rPr>
          <w:rFonts w:ascii="Times New Roman" w:hAnsi="Times New Roman" w:cs="Times New Roman"/>
          <w:w w:val="95"/>
        </w:rPr>
        <w:t>, teso alla</w:t>
      </w:r>
      <w:r w:rsidRPr="00A04240">
        <w:rPr>
          <w:rFonts w:ascii="Times New Roman" w:hAnsi="Times New Roman" w:cs="Times New Roman"/>
          <w:w w:val="95"/>
        </w:rPr>
        <w:t xml:space="preserve"> </w:t>
      </w:r>
      <w:r w:rsidR="00A36A7C" w:rsidRPr="00A04240">
        <w:rPr>
          <w:rFonts w:ascii="Times New Roman" w:hAnsi="Times New Roman" w:cs="Times New Roman"/>
          <w:w w:val="95"/>
        </w:rPr>
        <w:t xml:space="preserve">salvaguardia delle condizioni di </w:t>
      </w:r>
      <w:r w:rsidR="00A14FB3">
        <w:rPr>
          <w:rFonts w:ascii="Times New Roman" w:hAnsi="Times New Roman" w:cs="Times New Roman"/>
          <w:w w:val="95"/>
        </w:rPr>
        <w:t>continuità</w:t>
      </w:r>
      <w:r w:rsidR="00A36A7C" w:rsidRPr="00A04240">
        <w:rPr>
          <w:rFonts w:ascii="Times New Roman" w:hAnsi="Times New Roman" w:cs="Times New Roman"/>
          <w:w w:val="95"/>
        </w:rPr>
        <w:t xml:space="preserve"> e sviluppo dell'Azienda, </w:t>
      </w:r>
      <w:r w:rsidRPr="00A04240">
        <w:rPr>
          <w:rFonts w:ascii="Times New Roman" w:hAnsi="Times New Roman" w:cs="Times New Roman"/>
          <w:w w:val="95"/>
        </w:rPr>
        <w:t xml:space="preserve">hanno </w:t>
      </w:r>
      <w:proofErr w:type="gramStart"/>
      <w:r w:rsidRPr="00A04240">
        <w:rPr>
          <w:rFonts w:ascii="Times New Roman" w:hAnsi="Times New Roman" w:cs="Times New Roman"/>
          <w:w w:val="95"/>
        </w:rPr>
        <w:t>introdotto  nelle</w:t>
      </w:r>
      <w:proofErr w:type="gramEnd"/>
      <w:r w:rsidRPr="00A04240">
        <w:rPr>
          <w:rFonts w:ascii="Times New Roman" w:hAnsi="Times New Roman" w:cs="Times New Roman"/>
          <w:w w:val="95"/>
        </w:rPr>
        <w:t xml:space="preserve"> aziende sanitarie un sistema di controllo interno</w:t>
      </w:r>
      <w:r w:rsidR="00E5158E" w:rsidRPr="00A04240">
        <w:rPr>
          <w:rFonts w:ascii="Times New Roman" w:hAnsi="Times New Roman" w:cs="Times New Roman"/>
          <w:w w:val="95"/>
        </w:rPr>
        <w:t xml:space="preserve"> che promuove l</w:t>
      </w:r>
      <w:r w:rsidR="00621CFE" w:rsidRPr="00A04240">
        <w:rPr>
          <w:rFonts w:ascii="Times New Roman" w:hAnsi="Times New Roman" w:cs="Times New Roman"/>
          <w:w w:val="95"/>
        </w:rPr>
        <w:t>a mappatura dell’organizzazione attraverso i processi</w:t>
      </w:r>
      <w:r w:rsidR="00E5158E" w:rsidRPr="00A04240">
        <w:rPr>
          <w:rFonts w:ascii="Times New Roman" w:hAnsi="Times New Roman" w:cs="Times New Roman"/>
          <w:w w:val="95"/>
        </w:rPr>
        <w:t xml:space="preserve">, già introdotta per le attività amministrative e tecniche attraverso la normativa anticorruzione, e, </w:t>
      </w:r>
      <w:r w:rsidR="00621CFE" w:rsidRPr="00A04240">
        <w:rPr>
          <w:rFonts w:ascii="Times New Roman" w:hAnsi="Times New Roman" w:cs="Times New Roman"/>
          <w:w w:val="95"/>
        </w:rPr>
        <w:t>per</w:t>
      </w:r>
      <w:r w:rsidR="00E5158E" w:rsidRPr="00A04240">
        <w:rPr>
          <w:rFonts w:ascii="Times New Roman" w:hAnsi="Times New Roman" w:cs="Times New Roman"/>
          <w:w w:val="95"/>
        </w:rPr>
        <w:t xml:space="preserve"> le attività sanitarie,</w:t>
      </w:r>
      <w:r w:rsidR="00621CFE" w:rsidRPr="00A04240">
        <w:rPr>
          <w:rFonts w:ascii="Times New Roman" w:hAnsi="Times New Roman" w:cs="Times New Roman"/>
          <w:w w:val="95"/>
        </w:rPr>
        <w:t xml:space="preserve"> prevalentemente attraverso la normativa di accreditamento</w:t>
      </w:r>
      <w:r w:rsidR="00E5158E" w:rsidRPr="00A04240">
        <w:rPr>
          <w:rFonts w:ascii="Times New Roman" w:hAnsi="Times New Roman" w:cs="Times New Roman"/>
          <w:w w:val="95"/>
        </w:rPr>
        <w:t xml:space="preserve">. </w:t>
      </w:r>
    </w:p>
    <w:p w14:paraId="73B4B1BB" w14:textId="77777777" w:rsidR="00E5158E" w:rsidRPr="00A04240" w:rsidRDefault="00E5158E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 xml:space="preserve">L’AOUC ha finora programmato sistematici controlli sulla correttezza dell’applicazione delle procedure amministrative e contabili che compongono il manuale PAC, comprendendo nei controlli annuali </w:t>
      </w:r>
      <w:r w:rsidR="00A36A7C" w:rsidRPr="00A04240">
        <w:rPr>
          <w:rFonts w:ascii="Times New Roman" w:hAnsi="Times New Roman" w:cs="Times New Roman"/>
          <w:w w:val="95"/>
        </w:rPr>
        <w:t xml:space="preserve">audit su </w:t>
      </w:r>
      <w:r w:rsidRPr="00A04240">
        <w:rPr>
          <w:rFonts w:ascii="Times New Roman" w:hAnsi="Times New Roman" w:cs="Times New Roman"/>
          <w:w w:val="95"/>
        </w:rPr>
        <w:t>tutti i cicli contabili.</w:t>
      </w:r>
    </w:p>
    <w:p w14:paraId="76133AA2" w14:textId="77777777" w:rsidR="00E5158E" w:rsidRPr="00A04240" w:rsidRDefault="00A36A7C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 xml:space="preserve">La </w:t>
      </w:r>
      <w:r w:rsidR="003D55A4" w:rsidRPr="00A04240">
        <w:rPr>
          <w:rFonts w:ascii="Times New Roman" w:hAnsi="Times New Roman" w:cs="Times New Roman"/>
          <w:w w:val="95"/>
        </w:rPr>
        <w:t>tendenza al</w:t>
      </w:r>
      <w:r w:rsidRPr="00A04240">
        <w:rPr>
          <w:rFonts w:ascii="Times New Roman" w:hAnsi="Times New Roman" w:cs="Times New Roman"/>
          <w:w w:val="95"/>
        </w:rPr>
        <w:t>la se</w:t>
      </w:r>
      <w:r w:rsidR="003D55A4" w:rsidRPr="00A04240">
        <w:rPr>
          <w:rFonts w:ascii="Times New Roman" w:hAnsi="Times New Roman" w:cs="Times New Roman"/>
          <w:w w:val="95"/>
        </w:rPr>
        <w:t>mplificazione delle attività e a</w:t>
      </w:r>
      <w:r w:rsidRPr="00A04240">
        <w:rPr>
          <w:rFonts w:ascii="Times New Roman" w:hAnsi="Times New Roman" w:cs="Times New Roman"/>
          <w:w w:val="95"/>
        </w:rPr>
        <w:t>l rafforzamento del sistema dei controll</w:t>
      </w:r>
      <w:r w:rsidR="00D23313" w:rsidRPr="00A04240">
        <w:rPr>
          <w:rFonts w:ascii="Times New Roman" w:hAnsi="Times New Roman" w:cs="Times New Roman"/>
          <w:w w:val="95"/>
        </w:rPr>
        <w:t>i</w:t>
      </w:r>
      <w:r w:rsidRPr="00A04240">
        <w:rPr>
          <w:rFonts w:ascii="Times New Roman" w:hAnsi="Times New Roman" w:cs="Times New Roman"/>
          <w:w w:val="95"/>
        </w:rPr>
        <w:t xml:space="preserve"> ha portato a </w:t>
      </w:r>
      <w:r w:rsidR="0075685E" w:rsidRPr="00A04240">
        <w:rPr>
          <w:rFonts w:ascii="Times New Roman" w:hAnsi="Times New Roman" w:cs="Times New Roman"/>
          <w:w w:val="95"/>
        </w:rPr>
        <w:t xml:space="preserve">cercare il </w:t>
      </w:r>
      <w:r w:rsidRPr="00A04240">
        <w:rPr>
          <w:rFonts w:ascii="Times New Roman" w:hAnsi="Times New Roman" w:cs="Times New Roman"/>
          <w:w w:val="95"/>
        </w:rPr>
        <w:t>supera</w:t>
      </w:r>
      <w:r w:rsidR="0075685E" w:rsidRPr="00A04240">
        <w:rPr>
          <w:rFonts w:ascii="Times New Roman" w:hAnsi="Times New Roman" w:cs="Times New Roman"/>
          <w:w w:val="95"/>
        </w:rPr>
        <w:t>mento</w:t>
      </w:r>
      <w:r w:rsidRPr="00A04240">
        <w:rPr>
          <w:rFonts w:ascii="Times New Roman" w:hAnsi="Times New Roman" w:cs="Times New Roman"/>
          <w:w w:val="95"/>
        </w:rPr>
        <w:t xml:space="preserve"> </w:t>
      </w:r>
      <w:r w:rsidR="0075685E" w:rsidRPr="00A04240">
        <w:rPr>
          <w:rFonts w:ascii="Times New Roman" w:hAnsi="Times New Roman" w:cs="Times New Roman"/>
          <w:w w:val="95"/>
        </w:rPr>
        <w:t>del</w:t>
      </w:r>
      <w:r w:rsidRPr="00A04240">
        <w:rPr>
          <w:rFonts w:ascii="Times New Roman" w:hAnsi="Times New Roman" w:cs="Times New Roman"/>
          <w:w w:val="95"/>
        </w:rPr>
        <w:t>la dualità dei programmi di audit che finora ha caratterizzato gli ambiti della prevenzione della corruzione e dei PAC.</w:t>
      </w:r>
    </w:p>
    <w:p w14:paraId="5ABD41AD" w14:textId="77777777" w:rsidR="001F7BD1" w:rsidRPr="00A04240" w:rsidRDefault="00D23313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>A tale fine, l</w:t>
      </w:r>
      <w:r w:rsidR="00621CFE" w:rsidRPr="00A04240">
        <w:rPr>
          <w:rFonts w:ascii="Times New Roman" w:hAnsi="Times New Roman" w:cs="Times New Roman"/>
          <w:w w:val="95"/>
        </w:rPr>
        <w:t xml:space="preserve">a </w:t>
      </w:r>
      <w:r w:rsidR="001F7BD1" w:rsidRPr="00A04240">
        <w:rPr>
          <w:rFonts w:ascii="Times New Roman" w:hAnsi="Times New Roman" w:cs="Times New Roman"/>
          <w:w w:val="95"/>
        </w:rPr>
        <w:t xml:space="preserve">progressiva </w:t>
      </w:r>
      <w:r w:rsidR="00621CFE" w:rsidRPr="00A04240">
        <w:rPr>
          <w:rFonts w:ascii="Times New Roman" w:hAnsi="Times New Roman" w:cs="Times New Roman"/>
          <w:w w:val="95"/>
        </w:rPr>
        <w:t>mappatura dei pro</w:t>
      </w:r>
      <w:r w:rsidR="001F7BD1" w:rsidRPr="00A04240">
        <w:rPr>
          <w:rFonts w:ascii="Times New Roman" w:hAnsi="Times New Roman" w:cs="Times New Roman"/>
          <w:w w:val="95"/>
        </w:rPr>
        <w:t>cessi sensibili sarà focalizzata sul</w:t>
      </w:r>
      <w:r w:rsidR="00621CFE" w:rsidRPr="00A04240">
        <w:rPr>
          <w:rFonts w:ascii="Times New Roman" w:hAnsi="Times New Roman" w:cs="Times New Roman"/>
          <w:w w:val="95"/>
        </w:rPr>
        <w:t xml:space="preserve"> raggiungimento degli obiettivi di performance vòlti a incrementare il valore pubblico e rilevanti ai fini PAC.</w:t>
      </w:r>
      <w:r w:rsidRPr="00A04240">
        <w:rPr>
          <w:rFonts w:ascii="Times New Roman" w:hAnsi="Times New Roman" w:cs="Times New Roman"/>
          <w:w w:val="95"/>
        </w:rPr>
        <w:t xml:space="preserve"> Pertanto, l</w:t>
      </w:r>
      <w:r w:rsidR="001F7BD1" w:rsidRPr="00A04240">
        <w:rPr>
          <w:rFonts w:ascii="Times New Roman" w:hAnsi="Times New Roman" w:cs="Times New Roman"/>
          <w:w w:val="95"/>
        </w:rPr>
        <w:t xml:space="preserve">e attività di controllo sulla correttezza delle procedure amministrative e contabili </w:t>
      </w:r>
      <w:r w:rsidR="00FF5CC6">
        <w:rPr>
          <w:rFonts w:ascii="Times New Roman" w:hAnsi="Times New Roman" w:cs="Times New Roman"/>
          <w:w w:val="95"/>
        </w:rPr>
        <w:t>che fanno parte del Manuale PAC</w:t>
      </w:r>
      <w:r w:rsidR="001F7BD1" w:rsidRPr="00A04240">
        <w:rPr>
          <w:rFonts w:ascii="Times New Roman" w:hAnsi="Times New Roman" w:cs="Times New Roman"/>
          <w:w w:val="95"/>
        </w:rPr>
        <w:t xml:space="preserve"> verranno riportate nei programmi delle attività di prevenzione e contrasto alla corruzione.</w:t>
      </w:r>
      <w:r w:rsidR="00621CFE" w:rsidRPr="00A04240">
        <w:rPr>
          <w:rFonts w:ascii="Times New Roman" w:hAnsi="Times New Roman" w:cs="Times New Roman"/>
          <w:w w:val="95"/>
        </w:rPr>
        <w:t xml:space="preserve"> </w:t>
      </w:r>
      <w:bookmarkStart w:id="0" w:name="4._Responsabilità"/>
      <w:bookmarkStart w:id="1" w:name="_bookmark2"/>
      <w:bookmarkEnd w:id="0"/>
      <w:bookmarkEnd w:id="1"/>
    </w:p>
    <w:p w14:paraId="298D682F" w14:textId="77777777" w:rsidR="00050933" w:rsidRPr="00A04240" w:rsidRDefault="00050933" w:rsidP="00050933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</w:p>
    <w:p w14:paraId="30E2A0DA" w14:textId="77777777" w:rsidR="00050933" w:rsidRPr="00A04240" w:rsidRDefault="00050933" w:rsidP="00050933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 xml:space="preserve">La formazione in materia di prevenzione della corruzione e trasparenza è stata concentrata sulla figura dei referenti </w:t>
      </w:r>
      <w:proofErr w:type="gramStart"/>
      <w:r w:rsidRPr="00A04240">
        <w:rPr>
          <w:rFonts w:ascii="Times New Roman" w:hAnsi="Times New Roman" w:cs="Times New Roman"/>
          <w:w w:val="95"/>
        </w:rPr>
        <w:t>per  l’anticorruzione</w:t>
      </w:r>
      <w:proofErr w:type="gramEnd"/>
      <w:r w:rsidRPr="00A04240">
        <w:rPr>
          <w:rFonts w:ascii="Times New Roman" w:hAnsi="Times New Roman" w:cs="Times New Roman"/>
          <w:w w:val="95"/>
        </w:rPr>
        <w:t xml:space="preserve"> e trasparenza, di cui l’elenco dei nominativi è costantemente aggiornato.</w:t>
      </w:r>
    </w:p>
    <w:p w14:paraId="01419381" w14:textId="77777777" w:rsidR="00D23313" w:rsidRPr="00A04240" w:rsidRDefault="00D23313" w:rsidP="006B4FE8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</w:p>
    <w:p w14:paraId="4BC47A34" w14:textId="77777777" w:rsidR="00D23313" w:rsidRPr="00A04240" w:rsidRDefault="00D23313" w:rsidP="00D23313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proofErr w:type="gramStart"/>
      <w:r w:rsidRPr="00A04240">
        <w:rPr>
          <w:rFonts w:ascii="Times New Roman" w:hAnsi="Times New Roman" w:cs="Times New Roman"/>
          <w:w w:val="95"/>
        </w:rPr>
        <w:t>E’</w:t>
      </w:r>
      <w:proofErr w:type="gramEnd"/>
      <w:r w:rsidRPr="00A04240">
        <w:rPr>
          <w:rFonts w:ascii="Times New Roman" w:hAnsi="Times New Roman" w:cs="Times New Roman"/>
          <w:w w:val="95"/>
        </w:rPr>
        <w:t xml:space="preserve"> stato aggiornato il Codice di comportamento aziendale, prevedendo</w:t>
      </w:r>
      <w:r w:rsidR="005D4A37" w:rsidRPr="00A04240">
        <w:rPr>
          <w:rFonts w:ascii="Times New Roman" w:hAnsi="Times New Roman" w:cs="Times New Roman"/>
          <w:w w:val="95"/>
        </w:rPr>
        <w:t>, tra l’altro</w:t>
      </w:r>
      <w:r w:rsidRPr="00A04240">
        <w:rPr>
          <w:rFonts w:ascii="Times New Roman" w:hAnsi="Times New Roman" w:cs="Times New Roman"/>
          <w:w w:val="95"/>
        </w:rPr>
        <w:t>:</w:t>
      </w:r>
    </w:p>
    <w:p w14:paraId="4B90FB87" w14:textId="77777777" w:rsidR="00D23313" w:rsidRPr="00A04240" w:rsidRDefault="00D23313" w:rsidP="00D23313">
      <w:pPr>
        <w:pStyle w:val="Paragrafoelenco"/>
        <w:widowControl/>
        <w:numPr>
          <w:ilvl w:val="0"/>
          <w:numId w:val="4"/>
        </w:numPr>
        <w:autoSpaceDE/>
        <w:autoSpaceDN/>
        <w:spacing w:after="120"/>
        <w:ind w:left="284" w:right="412" w:hanging="284"/>
        <w:jc w:val="both"/>
        <w:rPr>
          <w:rFonts w:ascii="Arial Narrow" w:hAnsi="Arial Narrow" w:cstheme="majorHAnsi"/>
          <w:color w:val="215868" w:themeColor="accent5" w:themeShade="80"/>
        </w:rPr>
      </w:pPr>
      <w:r w:rsidRPr="00A04240">
        <w:rPr>
          <w:rFonts w:eastAsiaTheme="minorHAnsi"/>
          <w:w w:val="95"/>
        </w:rPr>
        <w:t xml:space="preserve">una sezione dedicata al corretto utilizzo delle tecnologie informatiche e dei mezzi di informazione e social media da parte dei dipendenti pubblici; </w:t>
      </w:r>
    </w:p>
    <w:p w14:paraId="140E38CC" w14:textId="77777777" w:rsidR="00D23313" w:rsidRPr="00A04240" w:rsidRDefault="00D23313" w:rsidP="00D23313">
      <w:pPr>
        <w:pStyle w:val="Paragrafoelenco"/>
        <w:widowControl/>
        <w:numPr>
          <w:ilvl w:val="0"/>
          <w:numId w:val="4"/>
        </w:numPr>
        <w:autoSpaceDE/>
        <w:autoSpaceDN/>
        <w:spacing w:after="120"/>
        <w:ind w:left="284" w:right="412" w:hanging="284"/>
        <w:jc w:val="both"/>
        <w:rPr>
          <w:rFonts w:ascii="Arial Narrow" w:hAnsi="Arial Narrow" w:cstheme="majorHAnsi"/>
          <w:color w:val="215868" w:themeColor="accent5" w:themeShade="80"/>
        </w:rPr>
      </w:pPr>
      <w:r w:rsidRPr="00A04240">
        <w:rPr>
          <w:rFonts w:eastAsiaTheme="minorHAnsi"/>
          <w:w w:val="95"/>
        </w:rPr>
        <w:t>l’obbligo di svolgere un ciclo formativo di durata e intensità proporzionate al grado di responsabilità e nei limiti delle risorse finanziarie disponibili a legislazione vigente, sui temi dell'etica   pubblica   e   sul comportamento etico;</w:t>
      </w:r>
    </w:p>
    <w:p w14:paraId="00A599EB" w14:textId="77777777" w:rsidR="00D23313" w:rsidRPr="00A04240" w:rsidRDefault="00D23313" w:rsidP="005D4A37">
      <w:pPr>
        <w:pStyle w:val="Paragrafoelenco"/>
        <w:widowControl/>
        <w:numPr>
          <w:ilvl w:val="0"/>
          <w:numId w:val="4"/>
        </w:numPr>
        <w:autoSpaceDE/>
        <w:autoSpaceDN/>
        <w:spacing w:after="120"/>
        <w:ind w:left="284" w:right="412" w:hanging="284"/>
        <w:jc w:val="both"/>
        <w:rPr>
          <w:rFonts w:eastAsiaTheme="minorHAnsi"/>
          <w:w w:val="95"/>
        </w:rPr>
      </w:pPr>
      <w:r w:rsidRPr="00A04240">
        <w:rPr>
          <w:rFonts w:eastAsiaTheme="minorHAnsi"/>
          <w:w w:val="95"/>
        </w:rPr>
        <w:t>l’</w:t>
      </w:r>
      <w:r w:rsidRPr="00D23313">
        <w:rPr>
          <w:rFonts w:eastAsiaTheme="minorHAnsi"/>
          <w:w w:val="95"/>
        </w:rPr>
        <w:t>adegua</w:t>
      </w:r>
      <w:r w:rsidRPr="00A04240">
        <w:rPr>
          <w:rFonts w:eastAsiaTheme="minorHAnsi"/>
          <w:w w:val="95"/>
        </w:rPr>
        <w:t xml:space="preserve">mento </w:t>
      </w:r>
      <w:r w:rsidRPr="00D23313">
        <w:rPr>
          <w:rFonts w:eastAsiaTheme="minorHAnsi"/>
          <w:w w:val="95"/>
        </w:rPr>
        <w:t>agli sviluppi organizzativi aziendali in</w:t>
      </w:r>
      <w:r w:rsidRPr="00A04240">
        <w:rPr>
          <w:rFonts w:eastAsiaTheme="minorHAnsi"/>
          <w:w w:val="95"/>
        </w:rPr>
        <w:t xml:space="preserve"> tema di conflitto di interessi, </w:t>
      </w:r>
      <w:r w:rsidR="00617643" w:rsidRPr="00A04240">
        <w:rPr>
          <w:rFonts w:eastAsiaTheme="minorHAnsi"/>
          <w:w w:val="95"/>
        </w:rPr>
        <w:t xml:space="preserve">che </w:t>
      </w:r>
      <w:proofErr w:type="gramStart"/>
      <w:r w:rsidR="00617643" w:rsidRPr="00A04240">
        <w:rPr>
          <w:rFonts w:eastAsiaTheme="minorHAnsi"/>
          <w:w w:val="95"/>
        </w:rPr>
        <w:t>pongono  in</w:t>
      </w:r>
      <w:proofErr w:type="gramEnd"/>
      <w:r w:rsidR="00617643" w:rsidRPr="00A04240">
        <w:rPr>
          <w:rFonts w:eastAsiaTheme="minorHAnsi"/>
          <w:w w:val="95"/>
        </w:rPr>
        <w:t xml:space="preserve"> capo alle singole strutture gestionali  l’effettuazione della valutazione del conflitto di interesse nell’ambito dei procedimenti di rispettiva competenza  e riservano </w:t>
      </w:r>
      <w:r w:rsidRPr="00A04240">
        <w:rPr>
          <w:rFonts w:eastAsiaTheme="minorHAnsi"/>
          <w:w w:val="95"/>
        </w:rPr>
        <w:t>alla COVACI - quale organismo di secondo livello - la valutazione in se</w:t>
      </w:r>
      <w:r w:rsidR="00D30038" w:rsidRPr="00A04240">
        <w:rPr>
          <w:rFonts w:eastAsiaTheme="minorHAnsi"/>
          <w:w w:val="95"/>
        </w:rPr>
        <w:t>conda istanza di casi complessi.</w:t>
      </w:r>
    </w:p>
    <w:p w14:paraId="6C0E7B80" w14:textId="77777777" w:rsidR="00621CFE" w:rsidRPr="00A04240" w:rsidRDefault="00621CFE" w:rsidP="006B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A4C103" w14:textId="77777777" w:rsidR="00F33DBE" w:rsidRDefault="00845267" w:rsidP="00EE01B0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13/</w:t>
      </w:r>
      <w:r w:rsidR="002A59DA">
        <w:rPr>
          <w:rFonts w:ascii="Times New Roman" w:hAnsi="Times New Roman" w:cs="Times New Roman"/>
          <w:w w:val="95"/>
        </w:rPr>
        <w:t>0</w:t>
      </w:r>
      <w:r>
        <w:rPr>
          <w:rFonts w:ascii="Times New Roman" w:hAnsi="Times New Roman" w:cs="Times New Roman"/>
          <w:w w:val="95"/>
        </w:rPr>
        <w:t>1/2023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 w:rsidR="00F33DBE">
        <w:rPr>
          <w:rFonts w:ascii="Times New Roman" w:hAnsi="Times New Roman" w:cs="Times New Roman"/>
          <w:w w:val="95"/>
        </w:rPr>
        <w:t>Il RPCT</w:t>
      </w:r>
    </w:p>
    <w:p w14:paraId="058D3123" w14:textId="77777777" w:rsidR="000A7850" w:rsidRPr="00A04240" w:rsidRDefault="00095F47" w:rsidP="00F33DBE">
      <w:pPr>
        <w:spacing w:after="0" w:line="240" w:lineRule="auto"/>
        <w:ind w:left="4956" w:right="412" w:firstLine="708"/>
        <w:jc w:val="both"/>
        <w:rPr>
          <w:rFonts w:ascii="Times New Roman" w:hAnsi="Times New Roman" w:cs="Times New Roman"/>
          <w:w w:val="95"/>
        </w:rPr>
      </w:pPr>
      <w:r w:rsidRPr="00A04240">
        <w:rPr>
          <w:rFonts w:ascii="Times New Roman" w:hAnsi="Times New Roman" w:cs="Times New Roman"/>
          <w:w w:val="95"/>
        </w:rPr>
        <w:t>Dott.ssa Giar</w:t>
      </w:r>
      <w:r w:rsidR="00621CFE" w:rsidRPr="00A04240">
        <w:rPr>
          <w:rFonts w:ascii="Times New Roman" w:hAnsi="Times New Roman" w:cs="Times New Roman"/>
          <w:w w:val="95"/>
        </w:rPr>
        <w:t>d</w:t>
      </w:r>
      <w:r w:rsidRPr="00A04240">
        <w:rPr>
          <w:rFonts w:ascii="Times New Roman" w:hAnsi="Times New Roman" w:cs="Times New Roman"/>
          <w:w w:val="95"/>
        </w:rPr>
        <w:t>iello Raffaella</w:t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  <w:r w:rsidR="008E010F">
        <w:rPr>
          <w:rFonts w:ascii="Times New Roman" w:hAnsi="Times New Roman" w:cs="Times New Roman"/>
          <w:w w:val="95"/>
        </w:rPr>
        <w:tab/>
      </w:r>
    </w:p>
    <w:p w14:paraId="14A2C32B" w14:textId="77777777" w:rsidR="00845267" w:rsidRPr="00A04240" w:rsidRDefault="00845267">
      <w:pPr>
        <w:spacing w:after="0" w:line="240" w:lineRule="auto"/>
        <w:ind w:right="412"/>
        <w:jc w:val="both"/>
        <w:rPr>
          <w:rFonts w:ascii="Times New Roman" w:hAnsi="Times New Roman" w:cs="Times New Roman"/>
          <w:w w:val="95"/>
        </w:rPr>
      </w:pPr>
    </w:p>
    <w:sectPr w:rsidR="00845267" w:rsidRPr="00A04240" w:rsidSect="00F511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2F6"/>
    <w:multiLevelType w:val="hybridMultilevel"/>
    <w:tmpl w:val="E9DA07B2"/>
    <w:lvl w:ilvl="0" w:tplc="C3A88A7A">
      <w:start w:val="5"/>
      <w:numFmt w:val="bullet"/>
      <w:lvlText w:val="̵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90C"/>
    <w:multiLevelType w:val="hybridMultilevel"/>
    <w:tmpl w:val="BC0E1EA4"/>
    <w:lvl w:ilvl="0" w:tplc="161EF65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203"/>
    <w:multiLevelType w:val="hybridMultilevel"/>
    <w:tmpl w:val="69E4D15A"/>
    <w:lvl w:ilvl="0" w:tplc="86E69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29D9"/>
    <w:multiLevelType w:val="hybridMultilevel"/>
    <w:tmpl w:val="60D2E100"/>
    <w:lvl w:ilvl="0" w:tplc="5220FF90">
      <w:numFmt w:val="bullet"/>
      <w:lvlText w:val="-"/>
      <w:lvlJc w:val="left"/>
      <w:pPr>
        <w:ind w:left="292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C6DC7214">
      <w:numFmt w:val="bullet"/>
      <w:lvlText w:val="•"/>
      <w:lvlJc w:val="left"/>
      <w:pPr>
        <w:ind w:left="1304" w:hanging="135"/>
      </w:pPr>
      <w:rPr>
        <w:rFonts w:hint="default"/>
        <w:lang w:val="it-IT" w:eastAsia="en-US" w:bidi="ar-SA"/>
      </w:rPr>
    </w:lvl>
    <w:lvl w:ilvl="2" w:tplc="E30A8CC8">
      <w:numFmt w:val="bullet"/>
      <w:lvlText w:val="•"/>
      <w:lvlJc w:val="left"/>
      <w:pPr>
        <w:ind w:left="2309" w:hanging="135"/>
      </w:pPr>
      <w:rPr>
        <w:rFonts w:hint="default"/>
        <w:lang w:val="it-IT" w:eastAsia="en-US" w:bidi="ar-SA"/>
      </w:rPr>
    </w:lvl>
    <w:lvl w:ilvl="3" w:tplc="7E44968A">
      <w:numFmt w:val="bullet"/>
      <w:lvlText w:val="•"/>
      <w:lvlJc w:val="left"/>
      <w:pPr>
        <w:ind w:left="3313" w:hanging="135"/>
      </w:pPr>
      <w:rPr>
        <w:rFonts w:hint="default"/>
        <w:lang w:val="it-IT" w:eastAsia="en-US" w:bidi="ar-SA"/>
      </w:rPr>
    </w:lvl>
    <w:lvl w:ilvl="4" w:tplc="939AEB16">
      <w:numFmt w:val="bullet"/>
      <w:lvlText w:val="•"/>
      <w:lvlJc w:val="left"/>
      <w:pPr>
        <w:ind w:left="4318" w:hanging="135"/>
      </w:pPr>
      <w:rPr>
        <w:rFonts w:hint="default"/>
        <w:lang w:val="it-IT" w:eastAsia="en-US" w:bidi="ar-SA"/>
      </w:rPr>
    </w:lvl>
    <w:lvl w:ilvl="5" w:tplc="66CAC7B4">
      <w:numFmt w:val="bullet"/>
      <w:lvlText w:val="•"/>
      <w:lvlJc w:val="left"/>
      <w:pPr>
        <w:ind w:left="5323" w:hanging="135"/>
      </w:pPr>
      <w:rPr>
        <w:rFonts w:hint="default"/>
        <w:lang w:val="it-IT" w:eastAsia="en-US" w:bidi="ar-SA"/>
      </w:rPr>
    </w:lvl>
    <w:lvl w:ilvl="6" w:tplc="C7A22BBE">
      <w:numFmt w:val="bullet"/>
      <w:lvlText w:val="•"/>
      <w:lvlJc w:val="left"/>
      <w:pPr>
        <w:ind w:left="6327" w:hanging="135"/>
      </w:pPr>
      <w:rPr>
        <w:rFonts w:hint="default"/>
        <w:lang w:val="it-IT" w:eastAsia="en-US" w:bidi="ar-SA"/>
      </w:rPr>
    </w:lvl>
    <w:lvl w:ilvl="7" w:tplc="88D4BBA6">
      <w:numFmt w:val="bullet"/>
      <w:lvlText w:val="•"/>
      <w:lvlJc w:val="left"/>
      <w:pPr>
        <w:ind w:left="7332" w:hanging="135"/>
      </w:pPr>
      <w:rPr>
        <w:rFonts w:hint="default"/>
        <w:lang w:val="it-IT" w:eastAsia="en-US" w:bidi="ar-SA"/>
      </w:rPr>
    </w:lvl>
    <w:lvl w:ilvl="8" w:tplc="5B228064">
      <w:numFmt w:val="bullet"/>
      <w:lvlText w:val="•"/>
      <w:lvlJc w:val="left"/>
      <w:pPr>
        <w:ind w:left="8337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4A38079A"/>
    <w:multiLevelType w:val="hybridMultilevel"/>
    <w:tmpl w:val="BB52D278"/>
    <w:lvl w:ilvl="0" w:tplc="C18A74B6">
      <w:numFmt w:val="bullet"/>
      <w:lvlText w:val="-"/>
      <w:lvlJc w:val="left"/>
      <w:pPr>
        <w:ind w:left="212" w:hanging="155"/>
      </w:pPr>
      <w:rPr>
        <w:rFonts w:hint="default"/>
        <w:w w:val="93"/>
        <w:lang w:val="it-IT" w:eastAsia="en-US" w:bidi="ar-SA"/>
      </w:rPr>
    </w:lvl>
    <w:lvl w:ilvl="1" w:tplc="FF7E1D4A">
      <w:numFmt w:val="bullet"/>
      <w:lvlText w:val="•"/>
      <w:lvlJc w:val="left"/>
      <w:pPr>
        <w:ind w:left="1222" w:hanging="155"/>
      </w:pPr>
      <w:rPr>
        <w:rFonts w:hint="default"/>
        <w:lang w:val="it-IT" w:eastAsia="en-US" w:bidi="ar-SA"/>
      </w:rPr>
    </w:lvl>
    <w:lvl w:ilvl="2" w:tplc="EA02E886">
      <w:numFmt w:val="bullet"/>
      <w:lvlText w:val="•"/>
      <w:lvlJc w:val="left"/>
      <w:pPr>
        <w:ind w:left="2225" w:hanging="155"/>
      </w:pPr>
      <w:rPr>
        <w:rFonts w:hint="default"/>
        <w:lang w:val="it-IT" w:eastAsia="en-US" w:bidi="ar-SA"/>
      </w:rPr>
    </w:lvl>
    <w:lvl w:ilvl="3" w:tplc="10E8152C">
      <w:numFmt w:val="bullet"/>
      <w:lvlText w:val="•"/>
      <w:lvlJc w:val="left"/>
      <w:pPr>
        <w:ind w:left="3227" w:hanging="155"/>
      </w:pPr>
      <w:rPr>
        <w:rFonts w:hint="default"/>
        <w:lang w:val="it-IT" w:eastAsia="en-US" w:bidi="ar-SA"/>
      </w:rPr>
    </w:lvl>
    <w:lvl w:ilvl="4" w:tplc="B8E81F06">
      <w:numFmt w:val="bullet"/>
      <w:lvlText w:val="•"/>
      <w:lvlJc w:val="left"/>
      <w:pPr>
        <w:ind w:left="4230" w:hanging="155"/>
      </w:pPr>
      <w:rPr>
        <w:rFonts w:hint="default"/>
        <w:lang w:val="it-IT" w:eastAsia="en-US" w:bidi="ar-SA"/>
      </w:rPr>
    </w:lvl>
    <w:lvl w:ilvl="5" w:tplc="8C14783E">
      <w:numFmt w:val="bullet"/>
      <w:lvlText w:val="•"/>
      <w:lvlJc w:val="left"/>
      <w:pPr>
        <w:ind w:left="5233" w:hanging="155"/>
      </w:pPr>
      <w:rPr>
        <w:rFonts w:hint="default"/>
        <w:lang w:val="it-IT" w:eastAsia="en-US" w:bidi="ar-SA"/>
      </w:rPr>
    </w:lvl>
    <w:lvl w:ilvl="6" w:tplc="5742F242">
      <w:numFmt w:val="bullet"/>
      <w:lvlText w:val="•"/>
      <w:lvlJc w:val="left"/>
      <w:pPr>
        <w:ind w:left="6235" w:hanging="155"/>
      </w:pPr>
      <w:rPr>
        <w:rFonts w:hint="default"/>
        <w:lang w:val="it-IT" w:eastAsia="en-US" w:bidi="ar-SA"/>
      </w:rPr>
    </w:lvl>
    <w:lvl w:ilvl="7" w:tplc="552CEA18">
      <w:numFmt w:val="bullet"/>
      <w:lvlText w:val="•"/>
      <w:lvlJc w:val="left"/>
      <w:pPr>
        <w:ind w:left="7238" w:hanging="155"/>
      </w:pPr>
      <w:rPr>
        <w:rFonts w:hint="default"/>
        <w:lang w:val="it-IT" w:eastAsia="en-US" w:bidi="ar-SA"/>
      </w:rPr>
    </w:lvl>
    <w:lvl w:ilvl="8" w:tplc="36C6C348">
      <w:numFmt w:val="bullet"/>
      <w:lvlText w:val="•"/>
      <w:lvlJc w:val="left"/>
      <w:pPr>
        <w:ind w:left="8241" w:hanging="155"/>
      </w:pPr>
      <w:rPr>
        <w:rFonts w:hint="default"/>
        <w:lang w:val="it-IT" w:eastAsia="en-US" w:bidi="ar-SA"/>
      </w:rPr>
    </w:lvl>
  </w:abstractNum>
  <w:num w:numId="1" w16cid:durableId="639848041">
    <w:abstractNumId w:val="3"/>
  </w:num>
  <w:num w:numId="2" w16cid:durableId="366950056">
    <w:abstractNumId w:val="4"/>
  </w:num>
  <w:num w:numId="3" w16cid:durableId="197204178">
    <w:abstractNumId w:val="2"/>
  </w:num>
  <w:num w:numId="4" w16cid:durableId="1068042386">
    <w:abstractNumId w:val="1"/>
  </w:num>
  <w:num w:numId="5" w16cid:durableId="103986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9"/>
    <w:rsid w:val="00031169"/>
    <w:rsid w:val="00050933"/>
    <w:rsid w:val="00095F47"/>
    <w:rsid w:val="000A7850"/>
    <w:rsid w:val="000C378D"/>
    <w:rsid w:val="000D43F7"/>
    <w:rsid w:val="001212F2"/>
    <w:rsid w:val="00131124"/>
    <w:rsid w:val="001A7D01"/>
    <w:rsid w:val="001B7349"/>
    <w:rsid w:val="001F4479"/>
    <w:rsid w:val="001F7BD1"/>
    <w:rsid w:val="00221347"/>
    <w:rsid w:val="002425BF"/>
    <w:rsid w:val="002A4772"/>
    <w:rsid w:val="002A59DA"/>
    <w:rsid w:val="003D55A4"/>
    <w:rsid w:val="00415321"/>
    <w:rsid w:val="00454844"/>
    <w:rsid w:val="004839CB"/>
    <w:rsid w:val="00506DC5"/>
    <w:rsid w:val="00582E13"/>
    <w:rsid w:val="005D4A37"/>
    <w:rsid w:val="00617643"/>
    <w:rsid w:val="00621CFE"/>
    <w:rsid w:val="006544D1"/>
    <w:rsid w:val="006625B3"/>
    <w:rsid w:val="00687349"/>
    <w:rsid w:val="006A7632"/>
    <w:rsid w:val="006B4FE8"/>
    <w:rsid w:val="0075685E"/>
    <w:rsid w:val="00837443"/>
    <w:rsid w:val="00844CBF"/>
    <w:rsid w:val="00845267"/>
    <w:rsid w:val="0085790B"/>
    <w:rsid w:val="008D1EA1"/>
    <w:rsid w:val="008E010F"/>
    <w:rsid w:val="008E2A41"/>
    <w:rsid w:val="00A04240"/>
    <w:rsid w:val="00A14FB3"/>
    <w:rsid w:val="00A36A7C"/>
    <w:rsid w:val="00A927E3"/>
    <w:rsid w:val="00AF26D8"/>
    <w:rsid w:val="00AF5146"/>
    <w:rsid w:val="00B27655"/>
    <w:rsid w:val="00BA3CE9"/>
    <w:rsid w:val="00BA693E"/>
    <w:rsid w:val="00BE55D9"/>
    <w:rsid w:val="00BF2EF9"/>
    <w:rsid w:val="00CB11D0"/>
    <w:rsid w:val="00D23313"/>
    <w:rsid w:val="00D30038"/>
    <w:rsid w:val="00D92898"/>
    <w:rsid w:val="00E5158E"/>
    <w:rsid w:val="00EE01B0"/>
    <w:rsid w:val="00EF4FD0"/>
    <w:rsid w:val="00F33DBE"/>
    <w:rsid w:val="00F5119C"/>
    <w:rsid w:val="00F75268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FE0"/>
  <w15:docId w15:val="{D2ECBC44-5F31-4B0F-9009-4B1C2B2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124"/>
    <w:pPr>
      <w:widowControl w:val="0"/>
      <w:autoSpaceDE w:val="0"/>
      <w:autoSpaceDN w:val="0"/>
      <w:spacing w:after="0" w:line="240" w:lineRule="auto"/>
      <w:ind w:left="573" w:hanging="349"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3D55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55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55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5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55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C5F0-46D5-49B5-B241-2B3701EC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Rizzo Assunta</dc:creator>
  <cp:lastModifiedBy>AOUC</cp:lastModifiedBy>
  <cp:revision>2</cp:revision>
  <cp:lastPrinted>2023-01-25T09:35:00Z</cp:lastPrinted>
  <dcterms:created xsi:type="dcterms:W3CDTF">2023-02-01T10:56:00Z</dcterms:created>
  <dcterms:modified xsi:type="dcterms:W3CDTF">2023-02-01T10:56:00Z</dcterms:modified>
</cp:coreProperties>
</file>